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5528"/>
      </w:tblGrid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bookmarkStart w:id="0" w:name="_GoBack"/>
            <w:bookmarkEnd w:id="0"/>
            <w:r w:rsidRPr="003260EB">
              <w:rPr>
                <w:lang w:val="it-IT"/>
              </w:rPr>
              <w:t>Пиковый поток выдоха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PEF (л/мин)</w:t>
            </w:r>
          </w:p>
        </w:tc>
      </w:tr>
      <w:tr w:rsidR="003260EB" w:rsidRPr="003260EB" w:rsidTr="00940611">
        <w:trPr>
          <w:trHeight w:val="330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Объем форсированного выдоха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за 1 секунду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FEV1 (л)</w:t>
            </w:r>
          </w:p>
        </w:tc>
      </w:tr>
      <w:tr w:rsidR="003260EB" w:rsidRPr="003260EB" w:rsidTr="00940611">
        <w:trPr>
          <w:trHeight w:val="163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Система измерения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Двусторонняя турбина (вращающаяся лопасть)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Принцип измерения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Прерывание инфракрасного излучения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Максимальный пиковый поток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PEF 960 л/мин (16 л/с)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Максимальный объем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FEV1 10 л</w:t>
            </w:r>
          </w:p>
        </w:tc>
      </w:tr>
      <w:tr w:rsidR="003260EB" w:rsidRPr="003260EB" w:rsidTr="00940611">
        <w:trPr>
          <w:trHeight w:val="337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Точность объема (ATS 2019)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± 3,0% или ± 0,1 л в зависимости от того, какое значение больше*</w:t>
            </w:r>
          </w:p>
        </w:tc>
      </w:tr>
      <w:tr w:rsidR="003260EB" w:rsidRPr="003260EB" w:rsidTr="00940611">
        <w:trPr>
          <w:trHeight w:val="33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Точность пикового потока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± 12% или ± 25 л/мин (± 0,42 л/с) в зависимости от того, какое значение больше*</w:t>
            </w:r>
          </w:p>
        </w:tc>
      </w:tr>
      <w:tr w:rsidR="003260EB" w:rsidRPr="003260EB" w:rsidTr="00940611">
        <w:trPr>
          <w:trHeight w:val="330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Динамическое сопротивление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при 12 л/с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&lt;0,5 см H2O/л/с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Интерфейс связи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Bluetooth SMART (4.0 или выше)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Электропитание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2 х 1,5 В щелочные батареи ААА</w:t>
            </w:r>
          </w:p>
        </w:tc>
      </w:tr>
      <w:tr w:rsidR="003260EB" w:rsidRPr="003260EB" w:rsidTr="00940611">
        <w:trPr>
          <w:trHeight w:val="162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Размер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Основной корпус 109x49x21 мм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Вес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60,7 г (включая батареи)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Тип электрической защиты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Внутреннее питание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Уровень электрической защиты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BF</w:t>
            </w:r>
          </w:p>
        </w:tc>
      </w:tr>
      <w:tr w:rsidR="003260EB" w:rsidRPr="003260EB" w:rsidTr="00940611">
        <w:trPr>
          <w:trHeight w:val="165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Уровень защиты IP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IP22</w:t>
            </w:r>
          </w:p>
        </w:tc>
      </w:tr>
      <w:tr w:rsidR="003260EB" w:rsidRPr="003260EB" w:rsidTr="00940611">
        <w:trPr>
          <w:trHeight w:val="366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Применимые нормативы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ATS/ERS Методические рекомендации: 2005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ISO 26782: 2009</w:t>
            </w:r>
          </w:p>
        </w:tc>
      </w:tr>
      <w:tr w:rsidR="003260EB" w:rsidTr="0094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ISO 23747: 2015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EN ISO 14971: 2012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ISO 10993-1: 2018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2011/65/UE директива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EN ISO 15223:2016IEC 60601-1:2005 + A1: 2012EN 60601-1-2: 2015EN IEC 60601-1-6: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2010+Amd2013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EN 60601-1-11: 2015</w:t>
            </w:r>
          </w:p>
        </w:tc>
      </w:tr>
      <w:tr w:rsidR="003260EB" w:rsidTr="0094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Условия использования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Устройство для непрерывного использования</w:t>
            </w:r>
          </w:p>
        </w:tc>
      </w:tr>
      <w:tr w:rsidR="003260EB" w:rsidTr="0094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Условия хранения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Температура: МИН. –25°C, МАКС. +70°C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lastRenderedPageBreak/>
              <w:t>Влажность: МИН. 10% ОТН. ВЛ.; МАКС. 93% ОТН. ВЛ.</w:t>
            </w:r>
          </w:p>
        </w:tc>
      </w:tr>
      <w:tr w:rsidR="003260EB" w:rsidTr="0094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lastRenderedPageBreak/>
              <w:t>Условия транспортировки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Температура: МИН. –25°C, МАКС. +70°C Влажность: МИН. 10% ОТН. ВЛ.; МАКС. 93%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ОТН. ВЛ.</w:t>
            </w:r>
          </w:p>
        </w:tc>
      </w:tr>
      <w:tr w:rsidR="003260EB" w:rsidTr="0094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4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Условия работы</w:t>
            </w:r>
          </w:p>
        </w:tc>
        <w:tc>
          <w:tcPr>
            <w:tcW w:w="55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Температура: МИН. +5°C, МАКС. +40°C Влажность: МИН. 15% ОТН. ВЛ.; МАКС. 93%</w:t>
            </w:r>
          </w:p>
          <w:p w:rsidR="003260EB" w:rsidRPr="003260EB" w:rsidRDefault="003260EB" w:rsidP="003260EB">
            <w:pPr>
              <w:rPr>
                <w:lang w:val="it-IT"/>
              </w:rPr>
            </w:pPr>
            <w:r w:rsidRPr="003260EB">
              <w:rPr>
                <w:lang w:val="it-IT"/>
              </w:rPr>
              <w:t>ОТН. ВЛ.</w:t>
            </w:r>
          </w:p>
        </w:tc>
      </w:tr>
    </w:tbl>
    <w:p w:rsidR="00B21AF3" w:rsidRDefault="00B21AF3"/>
    <w:sectPr w:rsidR="00B2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6"/>
    <w:rsid w:val="003260EB"/>
    <w:rsid w:val="00940611"/>
    <w:rsid w:val="00A01B56"/>
    <w:rsid w:val="00B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CF02-91D8-4511-997E-58DEAFB2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60EB"/>
    <w:pPr>
      <w:widowControl w:val="0"/>
      <w:autoSpaceDE w:val="0"/>
      <w:autoSpaceDN w:val="0"/>
      <w:spacing w:after="0" w:line="145" w:lineRule="exact"/>
      <w:ind w:left="38"/>
    </w:pPr>
    <w:rPr>
      <w:rFonts w:ascii="Calibri" w:eastAsia="Calibri" w:hAnsi="Calibri" w:cs="Calibri"/>
      <w:lang w:val="it-IT"/>
    </w:rPr>
  </w:style>
  <w:style w:type="table" w:customStyle="1" w:styleId="TableNormal">
    <w:name w:val="Table Normal"/>
    <w:uiPriority w:val="2"/>
    <w:semiHidden/>
    <w:qFormat/>
    <w:rsid w:val="003260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Хайдарова</dc:creator>
  <cp:keywords/>
  <dc:description/>
  <cp:lastModifiedBy>Лиана Хайдарова</cp:lastModifiedBy>
  <cp:revision>3</cp:revision>
  <dcterms:created xsi:type="dcterms:W3CDTF">2023-02-28T12:42:00Z</dcterms:created>
  <dcterms:modified xsi:type="dcterms:W3CDTF">2023-02-28T12:43:00Z</dcterms:modified>
</cp:coreProperties>
</file>